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7F1F" w14:textId="77777777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MESA DE NEGOCIACIÓ DE FUNCIONARIS – 12 DE MAIG DE 2025</w:t>
      </w:r>
    </w:p>
    <w:p w14:paraId="493FB29F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El passat 12 de maig es va celebrar una nova reunió de la Mesa de Negociació de Funcionaris amb participació de la Corporació i les seccions sindicals representatives. Us traslladem un resum complet dels temes tractats i la posició d’UGT DIBA.</w:t>
      </w:r>
    </w:p>
    <w:p w14:paraId="1D428E30" w14:textId="77777777" w:rsidR="0021159C" w:rsidRPr="001A5FBF" w:rsidRDefault="0021159C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</w:p>
    <w:p w14:paraId="4282CA3E" w14:textId="00717FDA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PRÈVIES UGTDIBA</w:t>
      </w:r>
    </w:p>
    <w:p w14:paraId="2E9595E0" w14:textId="62F4E9D5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Institut del Teatre</w:t>
      </w:r>
    </w:p>
    <w:p w14:paraId="3BA374B0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Des de la nostra secció sindical s’ha detectat una manca greu de personal. Tot i que s’ha anunciat una revisió de la Relació de Llocs de Treball (RLT), tenim sospites que podria utilitzar-se per reduir plantilla i no pas per reforçar-la, generant sobrecàrregues inassumibles. La Corporació ho desvincula de la cobertura de vacants, però seguirem atents per garantir que no hi hagi retallades encobertes.</w:t>
      </w:r>
    </w:p>
    <w:p w14:paraId="08C05444" w14:textId="7E057D0A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Trasllats derivats del Pla d’Ordenació d’Edificis</w:t>
      </w:r>
    </w:p>
    <w:p w14:paraId="556D5D63" w14:textId="069FB005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UGT demana que aquests trasllats passin per la Mesa de Negociació. La Corporació considera que són qüestions organitzatives que no afecten negativament les condicions laborals ni la retribució, i per tant no són objecte de negociació. Seguirem insistint</w:t>
      </w:r>
      <w:r w:rsidR="00CB3D40"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perquè considerem que qualsevol trasllat que afecti a les condicions de treball del personal ha de ser negociat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.</w:t>
      </w:r>
    </w:p>
    <w:p w14:paraId="5FA49101" w14:textId="3D1D1787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Retards en nomenaments procés estabilització</w:t>
      </w:r>
    </w:p>
    <w:p w14:paraId="36217C67" w14:textId="77777777" w:rsidR="0021159C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Els retards en els decrets de nomenament del personal auxiliar administratiu i agents tributaris de l’ORGT, per exemple, generen molta incertesa. RRHH admet que hi ha una acumulació de decrets pendents de signatura, però confirma que les llistes són definitives i que es tramitaran abans de les promocions internes.</w:t>
      </w:r>
      <w:r w:rsidR="0021159C"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</w:p>
    <w:p w14:paraId="25B1174D" w14:textId="0C47B618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Gerència de Biblioteques</w:t>
      </w:r>
    </w:p>
    <w:p w14:paraId="740B7829" w14:textId="77777777" w:rsidR="0021159C" w:rsidRPr="001A5FBF" w:rsidRDefault="0021159C" w:rsidP="0021159C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lastRenderedPageBreak/>
        <w:t>De manera consensuada, les 4 seccions sindicals hem sol·licitat una mesa de negociació monogràfica per al mes de juny. La petició ha estat acceptada.</w:t>
      </w:r>
    </w:p>
    <w:p w14:paraId="0FE58D11" w14:textId="770DB1F8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</w:p>
    <w:p w14:paraId="74617E7E" w14:textId="0F0C5DA0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1. COMPLEMENT DE FESTIUS I DISSABTES</w:t>
      </w:r>
    </w:p>
    <w:p w14:paraId="5B3EA640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Des d’UGT denunciem que la proposta presentada per la Corporació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no suposa cap millora real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per al personal. El complement és clarament insuficient i no es compensen de manera efectiva els serveis extraordinaris, especialment a Biblioteques.</w:t>
      </w:r>
    </w:p>
    <w:p w14:paraId="0D7CD678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A més,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moltes hores extraordinàries no es poden recuperar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, convertint-se en treball gratuït i invisibilitzat. La Corporació rebutja reactivar la Comissió de Serveis Extraordinaris i manté que no es pot incrementar la retribució si no ho permet la normativa estatal.</w:t>
      </w:r>
    </w:p>
    <w:p w14:paraId="093C7EAE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UGT continuarà reclamant una compensació justa, transparent i aplicable en temps real.</w:t>
      </w:r>
    </w:p>
    <w:p w14:paraId="70D49ED1" w14:textId="68706DAF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</w:p>
    <w:p w14:paraId="27DDAE50" w14:textId="1F58FB84" w:rsidR="001C1C8B" w:rsidRPr="001A5FBF" w:rsidRDefault="0021159C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2</w:t>
      </w:r>
      <w:r w:rsidR="001C1C8B"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. MILLORA SOCIAL</w:t>
      </w:r>
    </w:p>
    <w:p w14:paraId="7E750C99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RRHH confirma que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la partida pressupostària de millores socials està esgotada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per al 2025. Això afecta tant la millora social ordinària com la per a familiars amb discapacitat a càrrec.</w:t>
      </w:r>
    </w:p>
    <w:p w14:paraId="6B714C1B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UGT defensa que cal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revisar el sistema actual i acordar un nou model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adaptat a les limitacions legals actuals però que garanteixi suport al personal. Hem demanat celeritat per evitar una situació insostenible a la tardor. RRHH estudiarà propostes només si tenen el suport majoritari de la representació sindical.</w:t>
      </w:r>
    </w:p>
    <w:p w14:paraId="748191D4" w14:textId="413D32A1" w:rsidR="001C1C8B" w:rsidRDefault="0021159C" w:rsidP="0021159C">
      <w:pPr>
        <w:tabs>
          <w:tab w:val="left" w:pos="6379"/>
        </w:tabs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Tot i que, com ja hem repetit en moltes </w:t>
      </w:r>
      <w:r w:rsidR="001A5FBF" w:rsidRPr="001A5FBF">
        <w:rPr>
          <w:rFonts w:asciiTheme="majorHAnsi" w:hAnsiTheme="majorHAnsi" w:cstheme="majorHAnsi"/>
          <w:sz w:val="28"/>
          <w:szCs w:val="28"/>
          <w:lang w:val="ca-ES"/>
        </w:rPr>
        <w:t>ocasions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,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NO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1A5FBF" w:rsidRPr="001A5FBF">
        <w:rPr>
          <w:rFonts w:asciiTheme="majorHAnsi" w:hAnsiTheme="majorHAnsi" w:cstheme="majorHAnsi"/>
          <w:sz w:val="28"/>
          <w:szCs w:val="28"/>
          <w:lang w:val="ca-ES"/>
        </w:rPr>
        <w:t>estàvem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d’acord amb </w:t>
      </w:r>
      <w:r w:rsidR="001A5FBF" w:rsidRPr="001A5FBF">
        <w:rPr>
          <w:rFonts w:asciiTheme="majorHAnsi" w:hAnsiTheme="majorHAnsi" w:cstheme="majorHAnsi"/>
          <w:sz w:val="28"/>
          <w:szCs w:val="28"/>
          <w:lang w:val="ca-ES"/>
        </w:rPr>
        <w:t>aquesta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“millora social” com a substituta dels “Premis per anys de servei” perquè per un </w:t>
      </w:r>
      <w:r w:rsidR="001A5FBF" w:rsidRPr="001A5FBF">
        <w:rPr>
          <w:rFonts w:asciiTheme="majorHAnsi" w:hAnsiTheme="majorHAnsi" w:cstheme="majorHAnsi"/>
          <w:sz w:val="28"/>
          <w:szCs w:val="28"/>
          <w:lang w:val="ca-ES"/>
        </w:rPr>
        <w:t>a banda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ja es podia preveure aquesta situació i per altra no </w:t>
      </w:r>
      <w:r w:rsidR="001A5FBF" w:rsidRPr="001A5FBF">
        <w:rPr>
          <w:rFonts w:asciiTheme="majorHAnsi" w:hAnsiTheme="majorHAnsi" w:cstheme="majorHAnsi"/>
          <w:sz w:val="28"/>
          <w:szCs w:val="28"/>
          <w:lang w:val="ca-ES"/>
        </w:rPr>
        <w:lastRenderedPageBreak/>
        <w:t>responien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a l’esperit d’unes pagues que premiaven la </w:t>
      </w:r>
      <w:r w:rsidR="001A5FBF" w:rsidRPr="001A5FBF">
        <w:rPr>
          <w:rFonts w:asciiTheme="majorHAnsi" w:hAnsiTheme="majorHAnsi" w:cstheme="majorHAnsi"/>
          <w:sz w:val="28"/>
          <w:szCs w:val="28"/>
          <w:lang w:val="ca-ES"/>
        </w:rPr>
        <w:t>fidelitat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I el compromís del personal que duia molts anys treballant a la Corporació, demanem a les </w:t>
      </w:r>
      <w:r w:rsidR="001A5FBF" w:rsidRPr="001A5FBF">
        <w:rPr>
          <w:rFonts w:asciiTheme="majorHAnsi" w:hAnsiTheme="majorHAnsi" w:cstheme="majorHAnsi"/>
          <w:sz w:val="28"/>
          <w:szCs w:val="28"/>
          <w:lang w:val="ca-ES"/>
        </w:rPr>
        <w:t>altres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3  seccions sindicals que ens trobem per arribar, el mes aviat possible, a una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proposta conjunta sobre la modificació de l’acord de la millora social complementària per edat.</w:t>
      </w:r>
    </w:p>
    <w:p w14:paraId="3D0366C3" w14:textId="77777777" w:rsidR="0052742B" w:rsidRPr="001A5FBF" w:rsidRDefault="0052742B" w:rsidP="0021159C">
      <w:pPr>
        <w:tabs>
          <w:tab w:val="left" w:pos="6379"/>
        </w:tabs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</w:p>
    <w:p w14:paraId="29C4731E" w14:textId="245732E3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3. REDUCCIÓ DE JORNADA PER A PERSONES AMB DISCAPACITAT</w:t>
      </w:r>
    </w:p>
    <w:p w14:paraId="70811E89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S’ha aprovat la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regulació del dret a una reducció de jornada amb reducció proporcional de retribucions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per a personal amb una discapacitat reconeguda igual o superior al 33%.</w:t>
      </w:r>
    </w:p>
    <w:p w14:paraId="247D6967" w14:textId="23EF86FB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Punts clau de l’acord:</w:t>
      </w:r>
    </w:p>
    <w:p w14:paraId="7A41632A" w14:textId="77777777" w:rsidR="001C1C8B" w:rsidRPr="001A5FBF" w:rsidRDefault="001C1C8B" w:rsidP="001C1C8B">
      <w:pPr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Acreditació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: Caldrà document oficial de discapacitat expedit per l’organisme competent.</w:t>
      </w:r>
    </w:p>
    <w:p w14:paraId="39863ECA" w14:textId="77777777" w:rsidR="001C1C8B" w:rsidRPr="001A5FBF" w:rsidRDefault="001C1C8B" w:rsidP="001C1C8B">
      <w:pPr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Reducció mínima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:</w:t>
      </w:r>
    </w:p>
    <w:p w14:paraId="6E23A106" w14:textId="77777777" w:rsidR="001C1C8B" w:rsidRPr="001A5FBF" w:rsidRDefault="001C1C8B" w:rsidP="001C1C8B">
      <w:pPr>
        <w:numPr>
          <w:ilvl w:val="1"/>
          <w:numId w:val="10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2 hores diàries per personal que no fa atenció directa.</w:t>
      </w:r>
    </w:p>
    <w:p w14:paraId="67E5549E" w14:textId="77777777" w:rsidR="001C1C8B" w:rsidRPr="001A5FBF" w:rsidRDefault="001C1C8B" w:rsidP="001C1C8B">
      <w:pPr>
        <w:numPr>
          <w:ilvl w:val="1"/>
          <w:numId w:val="10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4 hores diàries per personal amb atenció al públic.</w:t>
      </w:r>
    </w:p>
    <w:p w14:paraId="63EC31E6" w14:textId="77777777" w:rsidR="001C1C8B" w:rsidRPr="001A5FBF" w:rsidRDefault="001C1C8B" w:rsidP="001C1C8B">
      <w:pPr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Modalitats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:</w:t>
      </w:r>
    </w:p>
    <w:p w14:paraId="77433219" w14:textId="77777777" w:rsidR="001C1C8B" w:rsidRPr="001A5FBF" w:rsidRDefault="001C1C8B" w:rsidP="001C1C8B">
      <w:pPr>
        <w:numPr>
          <w:ilvl w:val="1"/>
          <w:numId w:val="10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Es podrà gaudir de forma diària o compactada en jornades senceres, amb autorització de RRHH.</w:t>
      </w:r>
    </w:p>
    <w:p w14:paraId="67E5D859" w14:textId="77777777" w:rsidR="001C1C8B" w:rsidRPr="001A5FBF" w:rsidRDefault="001C1C8B" w:rsidP="001C1C8B">
      <w:pPr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Compatibilitat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: Incompatible amb altres activitats professionals autoritzades.</w:t>
      </w:r>
    </w:p>
    <w:p w14:paraId="77A9C47E" w14:textId="7B9627B3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Posició d’UGT DIBA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: Tot i que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ens agradaria que aquest dret no impliqués una reducció proporcional del sou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,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valorem molt positivament que es reconegui aquest dret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 com una millora real per a un col·lectiu sovint oblidat. És un pas endavant que permet adaptar la jornada a la realitat personal i laboral de cada treballador/a amb discapacitat.</w:t>
      </w:r>
    </w:p>
    <w:p w14:paraId="33FE6E18" w14:textId="297B0AF8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lastRenderedPageBreak/>
        <w:t>4. PERMÍS DE PROTECCIÓ PER A PERSONES DONANTS</w:t>
      </w:r>
    </w:p>
    <w:p w14:paraId="42D2511B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S’ha aprovat el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nou permís previst per la Llei 6/2024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, que estableix el dret a absentar-se per fer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els actes preparatoris per a la donació d’òrgans o teixits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, sempre que tinguin lloc dins la jornada laboral.</w:t>
      </w:r>
    </w:p>
    <w:p w14:paraId="197E501A" w14:textId="3FF808EC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Aplicació a la DIBA:</w:t>
      </w:r>
    </w:p>
    <w:p w14:paraId="1DD3C060" w14:textId="77777777" w:rsidR="001C1C8B" w:rsidRPr="001A5FBF" w:rsidRDefault="001C1C8B" w:rsidP="001C1C8B">
      <w:pPr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Aquest dret s’ha incorporat com a permís ordinari.</w:t>
      </w:r>
    </w:p>
    <w:p w14:paraId="5F87EEED" w14:textId="77777777" w:rsidR="001C1C8B" w:rsidRPr="001A5FBF" w:rsidRDefault="001C1C8B" w:rsidP="001C1C8B">
      <w:pPr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Quan es produeixi la donació,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la persona treballadora haurà de tramitar la baixa mèdica (IT)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, que comportarà:</w:t>
      </w:r>
    </w:p>
    <w:p w14:paraId="7CE5E1F2" w14:textId="77777777" w:rsidR="001C1C8B" w:rsidRPr="001A5FBF" w:rsidRDefault="001C1C8B" w:rsidP="001C1C8B">
      <w:pPr>
        <w:numPr>
          <w:ilvl w:val="1"/>
          <w:numId w:val="11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Subsidis del 100% de la base reguladora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, sense carència mínima de cotització.</w:t>
      </w:r>
    </w:p>
    <w:p w14:paraId="1A19F7AE" w14:textId="77777777" w:rsidR="001C1C8B" w:rsidRPr="001A5FBF" w:rsidRDefault="001C1C8B" w:rsidP="001C1C8B">
      <w:pPr>
        <w:numPr>
          <w:ilvl w:val="1"/>
          <w:numId w:val="11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Pagament a càrrec de la mútua o entitat gestora des del primer dia.</w:t>
      </w:r>
    </w:p>
    <w:p w14:paraId="713F7DF0" w14:textId="77777777" w:rsidR="001C1C8B" w:rsidRPr="001A5FBF" w:rsidRDefault="001C1C8B" w:rsidP="001C1C8B">
      <w:pPr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Si no s’expedeix IT per part dels serveis públics de salut, es podrà justificar l’absència amb un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permís per deures inexcusables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, sempre amb acreditació formal.</w:t>
      </w:r>
    </w:p>
    <w:p w14:paraId="2BCF5514" w14:textId="45D91E5C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UGT considera aquest nou marc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una millora en reconeixement a l’altruisme del personal donant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, i vetllarem perquè s’apliqui correctament.</w:t>
      </w:r>
    </w:p>
    <w:p w14:paraId="4BFFA187" w14:textId="356E89DC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</w:p>
    <w:p w14:paraId="28E499E7" w14:textId="0F25189C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ALTRES</w:t>
      </w:r>
    </w:p>
    <w:p w14:paraId="64F0EEEF" w14:textId="77777777" w:rsidR="001C1C8B" w:rsidRPr="001A5FBF" w:rsidRDefault="001C1C8B" w:rsidP="001C1C8B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Promoció interna PAMO 2021–2023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: RRHH ha informat que pròximament es farà arribar la informació sobre els processos. Categories C1, C2 i Agrupacions es convocaran abans d’estiu; A1 i A2, al darrer trimestre de l’any.</w:t>
      </w:r>
    </w:p>
    <w:p w14:paraId="0A0B33A0" w14:textId="77777777" w:rsidR="001C1C8B" w:rsidRPr="001A5FBF" w:rsidRDefault="001C1C8B" w:rsidP="001C1C8B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Nomenaments del procés d’estabilització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: Encara hi ha molts pendents per signar. La pressió de fiscalització des de la Intervenció ha provocat colls d’ampolla injustificables.</w:t>
      </w:r>
    </w:p>
    <w:p w14:paraId="6AC82AB5" w14:textId="77777777" w:rsidR="001C1C8B" w:rsidRPr="001A5FBF" w:rsidRDefault="001C1C8B" w:rsidP="001C1C8B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lastRenderedPageBreak/>
        <w:t>Pla d’igualtat a l’ORGT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: S’ha tornat a reclamar una visió unificada per a tot el personal funcionari de la Diputació, també el dels organismes autònoms, evitant duplicacions innecessàries.</w:t>
      </w:r>
    </w:p>
    <w:p w14:paraId="1C1B5AB1" w14:textId="77777777" w:rsidR="001C1C8B" w:rsidRPr="001A5FBF" w:rsidRDefault="001C1C8B" w:rsidP="001C1C8B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Pagament d’ulleres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: S’està treballant (amb molt retard) una regulació per al pagament de dispositius correctors, segons la jurisprudència del TJUE.</w:t>
      </w:r>
    </w:p>
    <w:p w14:paraId="6072F25E" w14:textId="77777777" w:rsidR="001C1C8B" w:rsidRPr="001A5FBF" w:rsidRDefault="001C1C8B" w:rsidP="001C1C8B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Comissió d’Incidències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: Fa anys que no es revisa. La normativa actual és del 1995. Hi ha compromís de revisar-la i adaptar-la.</w:t>
      </w:r>
    </w:p>
    <w:p w14:paraId="34C8F796" w14:textId="77777777" w:rsidR="001C1C8B" w:rsidRPr="001A5FBF" w:rsidRDefault="001C1C8B" w:rsidP="001C1C8B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Borses de treball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: Cal implementar un sistema de gestió informàtica transparent. RRHH preveu fer-ho un cop acabats els processos d’estabilització.</w:t>
      </w:r>
    </w:p>
    <w:p w14:paraId="1CCEFD80" w14:textId="77777777" w:rsidR="001C1C8B" w:rsidRPr="001A5FBF" w:rsidRDefault="001C1C8B" w:rsidP="001C1C8B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Factor de perillositat/penositat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 xml:space="preserve">: Tot i haver-se aprovat la seva aplicació, </w:t>
      </w: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encara no es paga a personal de determinats organismes</w:t>
      </w:r>
      <w:r w:rsidRPr="001A5FBF">
        <w:rPr>
          <w:rFonts w:asciiTheme="majorHAnsi" w:hAnsiTheme="majorHAnsi" w:cstheme="majorHAnsi"/>
          <w:sz w:val="28"/>
          <w:szCs w:val="28"/>
          <w:lang w:val="ca-ES"/>
        </w:rPr>
        <w:t>. UGT exigirà l’aplicació plena i immediata del complement.</w:t>
      </w:r>
    </w:p>
    <w:p w14:paraId="66ADE5A2" w14:textId="120F0664" w:rsidR="001C1C8B" w:rsidRPr="001A5FBF" w:rsidRDefault="001C1C8B" w:rsidP="001C1C8B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</w:p>
    <w:p w14:paraId="5FB0D002" w14:textId="56F47A3A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C</w:t>
      </w:r>
      <w:r w:rsidR="0052742B">
        <w:rPr>
          <w:rFonts w:asciiTheme="majorHAnsi" w:hAnsiTheme="majorHAnsi" w:cstheme="majorHAnsi"/>
          <w:b/>
          <w:bCs/>
          <w:sz w:val="28"/>
          <w:szCs w:val="28"/>
          <w:lang w:val="ca-ES"/>
        </w:rPr>
        <w:t>OMITÈ DE SEGURETAT I SALUT LABORAL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(09/05/2024)</w:t>
      </w:r>
    </w:p>
    <w:p w14:paraId="4001928D" w14:textId="2D04A335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Temes destacats</w:t>
      </w:r>
    </w:p>
    <w:p w14:paraId="17600D9B" w14:textId="77777777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1. Formació en Prevenció de Riscos Laborals</w:t>
      </w:r>
    </w:p>
    <w:p w14:paraId="5AF6B9BD" w14:textId="6546033C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>S'informa de properes accions formatives com el curs de Conducció Segura i formacions en extinció d’incendis i primers auxilis.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br/>
      </w:r>
      <w:r w:rsidRPr="00CB3D40">
        <w:rPr>
          <w:rFonts w:asciiTheme="majorHAnsi" w:hAnsiTheme="majorHAnsi" w:cstheme="majorHAnsi"/>
          <w:i/>
          <w:iCs/>
          <w:sz w:val="28"/>
          <w:szCs w:val="28"/>
          <w:lang w:val="ca-ES"/>
        </w:rPr>
        <w:t>UGT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 posa en valor que les formacions vagin associades a les avaluacions de riscos reals dels llocs de treball.</w:t>
      </w:r>
    </w:p>
    <w:p w14:paraId="46407DF9" w14:textId="77777777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2. Ratificació de documents</w:t>
      </w:r>
    </w:p>
    <w:p w14:paraId="332D8C07" w14:textId="77777777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>S’aproven la matriu d’exposició i la planificació de mesures preventives en riscos psicosocials per a diversos serveis, ja treballades en grups tècnics.</w:t>
      </w:r>
    </w:p>
    <w:p w14:paraId="7561C8D3" w14:textId="77777777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3. Procediment per a la gestió de conflictes laborals</w:t>
      </w:r>
    </w:p>
    <w:p w14:paraId="43623027" w14:textId="77777777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lastRenderedPageBreak/>
        <w:t xml:space="preserve">Es presenta formalment el procediment, que es validarà per decret i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no passarà per la Mesa General ni pel Ple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>, a menys que hi hagi modificacions substancials en organismes autònoms.</w:t>
      </w:r>
    </w:p>
    <w:p w14:paraId="28DE186B" w14:textId="77777777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4. Nou protocol contra l’assetjament (inclòs ciberassetjament i discriminació)</w:t>
      </w:r>
    </w:p>
    <w:p w14:paraId="6B5B88F3" w14:textId="214623C1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>S’ha actualitzat el protocol incorporant el Pla d’Igualtat i aspectes com la identitat de gènere.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br/>
      </w:r>
      <w:r w:rsidRPr="00CB3D40">
        <w:rPr>
          <w:rFonts w:asciiTheme="majorHAnsi" w:hAnsiTheme="majorHAnsi" w:cstheme="majorHAnsi"/>
          <w:i/>
          <w:iCs/>
          <w:sz w:val="28"/>
          <w:szCs w:val="28"/>
          <w:lang w:val="ca-ES"/>
        </w:rPr>
        <w:t>UGT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 dona suport a protocols modernitzats i transversals que millorin la protecció real del personal.</w:t>
      </w:r>
    </w:p>
    <w:p w14:paraId="31A1C871" w14:textId="77777777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5. Institut del Teatre</w:t>
      </w:r>
    </w:p>
    <w:p w14:paraId="26935BC3" w14:textId="487E7302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No hi havia representació present, però UGT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reclama avaluació de riscos urgent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>, atenent les mancances detectades en visites.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br/>
        <w:t xml:space="preserve">UGT proposa fer les avaluacions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per parts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, degut a la dimensió dels edificis, i també demana un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estudi psicosocial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 específic.</w:t>
      </w:r>
    </w:p>
    <w:p w14:paraId="57810606" w14:textId="77777777" w:rsidR="009728C2" w:rsidRPr="001A5FBF" w:rsidRDefault="009728C2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</w:p>
    <w:p w14:paraId="2E7BDEB9" w14:textId="281562EE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Precs i preguntes – Aportacions d’UGT</w:t>
      </w:r>
    </w:p>
    <w:p w14:paraId="611C36F2" w14:textId="68E92BC1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Protocol davant emergències meteorològiques</w:t>
      </w:r>
    </w:p>
    <w:p w14:paraId="1274D6A8" w14:textId="73CB5BB8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UGT reclama un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protocol integral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 per a situacions com fortes ventades, inundacions, onades de calor o apagades.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br/>
        <w:t xml:space="preserve">Davant l’apagada recent, UGT expressa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malestar perquè no hi havia cap procediment ni comunicació clara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>, posant en risc el personal presencial.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br/>
      </w:r>
      <w:r w:rsidRPr="00CB3D40">
        <w:rPr>
          <w:rFonts w:asciiTheme="majorHAnsi" w:hAnsiTheme="majorHAnsi" w:cstheme="majorHAnsi"/>
          <w:i/>
          <w:iCs/>
          <w:sz w:val="28"/>
          <w:szCs w:val="28"/>
          <w:lang w:val="ca-ES"/>
        </w:rPr>
        <w:t>UGT defensa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 que l’excepcionalitat no pot ser una excusa per la inacció, i exigeix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autonomia de resposta de la Diputació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>, més enllà de Protecció Civil.</w:t>
      </w:r>
    </w:p>
    <w:p w14:paraId="275B9E5C" w14:textId="6E01F45A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Reclamació de comissions específiques a l’ORGT</w:t>
      </w:r>
    </w:p>
    <w:p w14:paraId="00D6F329" w14:textId="77777777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UGT recorda la necessitat de constituir grups de treball específics en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amiant, igualtat i riscos psicosocials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>. El Servei de Prevenció dona resposta parcial i condicionada a aprovacions pendents.</w:t>
      </w:r>
    </w:p>
    <w:p w14:paraId="513B2729" w14:textId="3C172994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lastRenderedPageBreak/>
        <w:t>Manca de vestuari d’abric</w:t>
      </w:r>
    </w:p>
    <w:p w14:paraId="655A43BC" w14:textId="08EE6163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UGT denuncia les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dificultats d’abastiment de roba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 per part de la Comissió de Vestuari.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br/>
        <w:t>S’indica que només es considera EPI si així ho determina l’avaluació de riscos, en cas contrari és simple uniformitat.</w:t>
      </w:r>
    </w:p>
    <w:p w14:paraId="52E5618E" w14:textId="6D29ECF7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Centres de treball i avaluació de riscos</w:t>
      </w:r>
    </w:p>
    <w:p w14:paraId="44DC71C2" w14:textId="77777777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UGT reclama informació sobre els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217 centres de treball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 de la Diputació per planificar millor les avaluacions. El Servei de Prevenció es compromet a facilitar el llistat.</w:t>
      </w:r>
    </w:p>
    <w:p w14:paraId="5804EBE7" w14:textId="25AC28E2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Protocol de violència ocupacional</w:t>
      </w:r>
    </w:p>
    <w:p w14:paraId="4FDAE13F" w14:textId="77777777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>UGT ha fet aportacions importants al protocol, que han estat acceptades per revisar-se abans de presentar-lo formalment al Comitè.</w:t>
      </w:r>
    </w:p>
    <w:p w14:paraId="1B00100C" w14:textId="6A8091D9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Aplicatiu U-33</w:t>
      </w:r>
    </w:p>
    <w:p w14:paraId="6C744DE2" w14:textId="77777777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UGT reitera la proposta d’implementar un sistema com el de l’ORGT per facilitar la seguretat i gestió de situacions. El Gabinet de Seguretat ho estudiarà i reconeix que </w:t>
      </w: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l’apagada del 28/04 ha estat un “simulacre real”</w:t>
      </w:r>
      <w:r w:rsidRPr="00CB3D40">
        <w:rPr>
          <w:rFonts w:asciiTheme="majorHAnsi" w:hAnsiTheme="majorHAnsi" w:cstheme="majorHAnsi"/>
          <w:sz w:val="28"/>
          <w:szCs w:val="28"/>
          <w:lang w:val="ca-ES"/>
        </w:rPr>
        <w:t xml:space="preserve"> del qual cal aprendre.</w:t>
      </w:r>
    </w:p>
    <w:p w14:paraId="44DCD9C7" w14:textId="74689F8B" w:rsidR="00CB3D40" w:rsidRPr="00CB3D40" w:rsidRDefault="00CB3D40" w:rsidP="00CB3D40">
      <w:pPr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b/>
          <w:bCs/>
          <w:sz w:val="28"/>
          <w:szCs w:val="28"/>
          <w:lang w:val="ca-ES"/>
        </w:rPr>
        <w:t>Oficines de l’ORGT a Ripollet i Cerdanyola</w:t>
      </w:r>
    </w:p>
    <w:p w14:paraId="679B78BD" w14:textId="77777777" w:rsidR="00CB3D40" w:rsidRPr="00CB3D40" w:rsidRDefault="00CB3D40" w:rsidP="00CB3D40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CB3D40">
        <w:rPr>
          <w:rFonts w:asciiTheme="majorHAnsi" w:hAnsiTheme="majorHAnsi" w:cstheme="majorHAnsi"/>
          <w:sz w:val="28"/>
          <w:szCs w:val="28"/>
          <w:lang w:val="ca-ES"/>
        </w:rPr>
        <w:t>UGT denuncia mancances detectades recentment. El Servei de Prevenció ho traslladarà al subcomitè de Maternitat per al seu seguiment.</w:t>
      </w:r>
    </w:p>
    <w:p w14:paraId="384F6001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sz w:val="28"/>
          <w:szCs w:val="28"/>
          <w:lang w:val="ca-ES"/>
        </w:rPr>
        <w:t>Des d’UGT DIBA continuarem vetllant perquè els drets laborals de tot el personal funcionari siguin respectats, ampliats i aplicats amb garanties. Estem compromesos amb una negociació real, transparent i valenta, centrada en les necessitats de la plantilla.</w:t>
      </w:r>
    </w:p>
    <w:p w14:paraId="5822CC45" w14:textId="77777777" w:rsidR="001C1C8B" w:rsidRPr="001A5FBF" w:rsidRDefault="001C1C8B" w:rsidP="001C1C8B">
      <w:pPr>
        <w:rPr>
          <w:rFonts w:asciiTheme="majorHAnsi" w:hAnsiTheme="majorHAnsi" w:cstheme="majorHAnsi"/>
          <w:sz w:val="28"/>
          <w:szCs w:val="28"/>
          <w:lang w:val="ca-ES"/>
        </w:rPr>
      </w:pPr>
      <w:r w:rsidRPr="001A5FBF">
        <w:rPr>
          <w:rFonts w:asciiTheme="majorHAnsi" w:hAnsiTheme="majorHAnsi" w:cstheme="majorHAnsi"/>
          <w:b/>
          <w:bCs/>
          <w:sz w:val="28"/>
          <w:szCs w:val="28"/>
          <w:lang w:val="ca-ES"/>
        </w:rPr>
        <w:t>UGT DIBA – Sempre al teu costat.</w:t>
      </w:r>
    </w:p>
    <w:sectPr w:rsidR="001C1C8B" w:rsidRPr="001A5F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C77F10"/>
    <w:multiLevelType w:val="multilevel"/>
    <w:tmpl w:val="B596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C5D6D"/>
    <w:multiLevelType w:val="multilevel"/>
    <w:tmpl w:val="E34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92582"/>
    <w:multiLevelType w:val="multilevel"/>
    <w:tmpl w:val="581E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D69C6"/>
    <w:multiLevelType w:val="hybridMultilevel"/>
    <w:tmpl w:val="347AB5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7CA4"/>
    <w:multiLevelType w:val="multilevel"/>
    <w:tmpl w:val="D6A8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B01A8"/>
    <w:multiLevelType w:val="multilevel"/>
    <w:tmpl w:val="4D0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12CB3"/>
    <w:multiLevelType w:val="multilevel"/>
    <w:tmpl w:val="34C6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80584"/>
    <w:multiLevelType w:val="multilevel"/>
    <w:tmpl w:val="A3DA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EA0D47"/>
    <w:multiLevelType w:val="multilevel"/>
    <w:tmpl w:val="0B94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3676A"/>
    <w:multiLevelType w:val="multilevel"/>
    <w:tmpl w:val="3D4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166092">
    <w:abstractNumId w:val="8"/>
  </w:num>
  <w:num w:numId="2" w16cid:durableId="456873900">
    <w:abstractNumId w:val="6"/>
  </w:num>
  <w:num w:numId="3" w16cid:durableId="1379665198">
    <w:abstractNumId w:val="5"/>
  </w:num>
  <w:num w:numId="4" w16cid:durableId="881408386">
    <w:abstractNumId w:val="4"/>
  </w:num>
  <w:num w:numId="5" w16cid:durableId="2142115151">
    <w:abstractNumId w:val="7"/>
  </w:num>
  <w:num w:numId="6" w16cid:durableId="548302408">
    <w:abstractNumId w:val="3"/>
  </w:num>
  <w:num w:numId="7" w16cid:durableId="1118336766">
    <w:abstractNumId w:val="2"/>
  </w:num>
  <w:num w:numId="8" w16cid:durableId="297495429">
    <w:abstractNumId w:val="1"/>
  </w:num>
  <w:num w:numId="9" w16cid:durableId="1452095278">
    <w:abstractNumId w:val="0"/>
  </w:num>
  <w:num w:numId="10" w16cid:durableId="1052315846">
    <w:abstractNumId w:val="14"/>
  </w:num>
  <w:num w:numId="11" w16cid:durableId="1112822413">
    <w:abstractNumId w:val="11"/>
  </w:num>
  <w:num w:numId="12" w16cid:durableId="1723627156">
    <w:abstractNumId w:val="13"/>
  </w:num>
  <w:num w:numId="13" w16cid:durableId="1511607286">
    <w:abstractNumId w:val="18"/>
  </w:num>
  <w:num w:numId="14" w16cid:durableId="369454674">
    <w:abstractNumId w:val="17"/>
  </w:num>
  <w:num w:numId="15" w16cid:durableId="1337028312">
    <w:abstractNumId w:val="10"/>
  </w:num>
  <w:num w:numId="16" w16cid:durableId="416633893">
    <w:abstractNumId w:val="9"/>
  </w:num>
  <w:num w:numId="17" w16cid:durableId="2088182617">
    <w:abstractNumId w:val="15"/>
  </w:num>
  <w:num w:numId="18" w16cid:durableId="504978801">
    <w:abstractNumId w:val="16"/>
  </w:num>
  <w:num w:numId="19" w16cid:durableId="760761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B4F"/>
    <w:rsid w:val="0006063C"/>
    <w:rsid w:val="000F58BB"/>
    <w:rsid w:val="0015074B"/>
    <w:rsid w:val="001A5FBF"/>
    <w:rsid w:val="001C1C8B"/>
    <w:rsid w:val="0021159C"/>
    <w:rsid w:val="0029639D"/>
    <w:rsid w:val="00326F90"/>
    <w:rsid w:val="0052742B"/>
    <w:rsid w:val="00723D4E"/>
    <w:rsid w:val="009728C2"/>
    <w:rsid w:val="00AA1D8D"/>
    <w:rsid w:val="00AE5644"/>
    <w:rsid w:val="00B47730"/>
    <w:rsid w:val="00CB0664"/>
    <w:rsid w:val="00CB3D40"/>
    <w:rsid w:val="00F55A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49A18"/>
  <w14:defaultImageDpi w14:val="300"/>
  <w15:docId w15:val="{256843BE-052A-4772-8F09-A3923AF2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1471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TUGAS ROCA, RUBEN</cp:lastModifiedBy>
  <cp:revision>3</cp:revision>
  <dcterms:created xsi:type="dcterms:W3CDTF">2025-05-16T10:20:00Z</dcterms:created>
  <dcterms:modified xsi:type="dcterms:W3CDTF">2025-05-19T08:28:00Z</dcterms:modified>
  <cp:category/>
</cp:coreProperties>
</file>